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128 vom 22. Januar 2026</w:t>
      </w:r>
    </w:p>
    <w:p>
      <w:r>
        <w:t>ZG Verwaltungsgericht, 2026-01-22, DE</w:t>
      </w:r>
    </w:p>
    <w:p>
      <w:r>
        <w:rPr>
          <w:b/>
        </w:rPr>
        <w:t xml:space="preserve">Quelle: </w:t>
      </w:r>
      <w:r>
        <w:t>https://mcp.opencaselaw.ch/entscheid/zg_verwaltungsgericht_S 2024 128</w:t>
      </w:r>
    </w:p>
    <w:p>
      <w:r>
        <w:t>FR: ZG_VERWALTUNGSGERICHT S 2024 128 du 22 janvier 2026</w:t>
      </w:r>
    </w:p>
    <w:p>
      <w:r>
        <w:t>IT: ZG_VERWALTUNGSGERICHT S 2024 128 del 22 gennaio 2026</w:t>
      </w:r>
    </w:p>
    <w:p>
      <w:pPr>
        <w:pStyle w:val="Heading2"/>
      </w:pPr>
      <w:r>
        <w:t>Erwägungen</w:t>
      </w:r>
    </w:p>
    <w:p>
      <w:r>
        <w:rPr>
          <w:b/>
        </w:rPr>
        <w:t>E. 2</w:t>
      </w:r>
    </w:p>
    <w:p>
      <w:r>
        <w:t>Urteil S 2024 128 A. Der 1961 geborene Biegereimitarbeiter A.________ stürzte am 10. Januar 2019 beim Kippen einer Mulde von einer Leiter, wobei er sich die Schulter anstiess und eine Prellung erlitt (vgl. Suva-act. 1, 10). In der Folge diagnostizierte der Orthopäde Dr. med. B.________, in C.________, eine vollständige Ruptur der Supraspinatussehne, Ruptur der Infraspinatussehne und Teilruptur der Subscapularissehne. Es bestehe eine ausgedehnte Rotatorenmanschettenruptur sowie eine Pseudoparalyse der Schulter. Si- cherlich hätten bereits Vorschäden bestanden, die nun aber schlimmer geworden seien (Suva-act. 6). Am 11. April 2019 erfolgte die operative Rekonstruktion durch Dr. B.________ (vgl. Operationsbericht vom 11. April 2019, Suva-act. 20). Da sich der Hei- lungsverlauf aufgrund des degenerativen Vorzustandes mit Verfettung verzögerte und der Versicherte zuvor körperlich schwere Arbeit verrichtet hatte, deren Zumutbarkeit nicht mehr zu erwarten war, fasste die Suva eine berufliche Umorientierung ins Auge (Suva-act. 26, 74, 85). Mit Schreiben vom 29. Mai 2020 kündigte der Arbeitgeber das Arbeitsverhält- nis per 2. September 2020 (Suva-act. 156). Die Suva übernahm Heilkosten und Taggeld- leistungen bis zum 30. Juni 2022 (Suva-act. 316). Nach Erreichen des medizinischen Endzustands konsultierte sie zunächst ihren Kreisarzt, welcher von einer Arbeitsfähigkeit von 100 % in einer angepassten Tätigkeit ausging. Mit Verfügung vom 10. Mai 2022 ging sie von einem Invaliditätsgrad von 8 % sowie einer Integritätseinbusse von 15 % aus (Su- va-act. 310 f., 330). Auf Einsprache hin holte die Suva ein Gutachten in den Disziplinen Allgemeine Innere Medizin, Orthopädie sowie Psychiatrie und Psychotherapie bei der me- dexperts AG, St. Gallen, ein (Expertise vom 7. November 2022, Suva-act. 358). Gestützt auf die darin attestierte volle Arbeitsunfähigkeit in der angestammten Tätigkeit sowie die Arbeitsfähigkeitseinschränkung von 25 % auch in einer leidensangepassten Tätigkeit (wegen eines erhöhten Pausenbedarfs) sprach die IV-Stelle des Kantons Zug dem Versicherten mit Vorbescheid vom 30. März 2023 bzw. Verfügung vom 14. Juli 2023 (Suva-act. 376, 392) eine ganze Invalidenrente ab 1. Oktober 2021 zu, da sich die Arbeits- fähigkeit in einer angepassten Tätigkeit auf dem ersten Arbeitsmarkt realistischerweise nicht verwerten lasse. Die Suva gewährte dem Versicherten mit Verfügung vom 5. Sep- tember 2023 eine Rente basierend auf einem Invaliditätsgrad von 35 %, wobei sie einen leidensbedingten Abzug von 5 % auf dem Tabellenlohn gewährte (Suva-act. 408). Daran hielt sie mit Einspracheentscheid vom 4. November 2024 fest (Suva-act. 431). B. Gegen den Einspracheentscheid der Suva vom 4. November 2024 erhob der Ver- sicherte am 3. Dezember 2024 (Poststempel) Beschwerde beim Verwaltungsgericht. Er beantragte die Aufhebung des Einspracheentscheids vom 4. November 2024 sowie die</w:t>
      </w:r>
    </w:p>
    <w:p>
      <w:r>
        <w:rPr>
          <w:b/>
        </w:rPr>
        <w:t>E. 2.1</w:t>
      </w:r>
    </w:p>
    <w:p>
      <w:r>
        <w:t>Wird das Invalideneinkommen auf der Grundlage von statistischen Lohndaten wie namentlich der LSE ermittelt, ist der so erhobene Ausgangswert gemäss bisheriger Recht- sprechung allenfalls zu kürzen. Damit soll der Tatsache Rechnung getragen werden, dass persönliche und berufliche Merkmale, wie Art und Ausmass der Behinderung, Lebensalter,</w:t>
      </w:r>
    </w:p>
    <w:p>
      <w:r>
        <w:rPr>
          <w:b/>
        </w:rPr>
        <w:t>E. 2.2</w:t>
      </w:r>
    </w:p>
    <w:p>
      <w:r>
        <w:t>Gemäss Art. 61 lit. d ATSG ist das Versicherungsgericht an die Begehren der Par- teien nicht gebunden; selbstredend wendet das Gericht das Recht zudem von Amtes we- gen an und ist auch an die Begründungen der Parteien nicht gebunden. Bevor einer Partei mehr zugesprochen wird als sie verlangt hat, ist indes der Gegenpartei Gelegenheit zur Stellungnahme zu geben. Dies erübrigt sich, wenn das Gericht feststellt, dass Fragen of- fen bleiben, welche durch die Vorinstanz zunächst zu klären sind, so dass die Sache an diese zurückgewiesen werden muss. Diesfalls hat die Vorinstanz im Rahmen ihres neuen Entscheids ohnehin Gelegenheit, erneut und nach Abklärung des Sachverhalts zur Sache Stellung zu nehmen. 3. Vorliegend ist unbestritten, dass dem Beschwerdeführer die bisherige Tätigkeit aufgrund der Unfallfolgen nicht mehr zumutbar ist und ihm beim zumutbaren Invalidenein- kommen in einer angepassten Tätigkeit ein Leidensabzugs zu gewähren ist. Strittig ist dessen Höhe. Während die Vorinstanz den zusätzlichen Abzug lediglich mit 5 % veran- schlagte, verlangt der Versicherte, dass ihm ein zusätzlicher Abzug vom Tabellenlohn in Höhe von 20 % gewährt werde. Fest steht dabei, dass der Beschwerdeführer im Begutachtungszeitpunkt 61 Jahre alt war, er über keine in der Schweiz anerkannte Berufsausbildung verfügt, dass er nur rudimentä- re Deutschkenntnisse besitzt und bis zur Kündigung im Jahr 2020 während über 30 Jah-</w:t>
      </w:r>
    </w:p>
    <w:p>
      <w:r>
        <w:rPr>
          <w:b/>
        </w:rPr>
        <w:t>E. 3</w:t>
      </w:r>
    </w:p>
    <w:p>
      <w:r>
        <w:t>Urteil S 2024 128 Zusprache einer höheren Invalidenrente entsprechend einem IV-Grad von 45 %. Er be- gründete dies damit, es seien ihm mit seinen 63 Jahren nur noch leichte Arbeiten zumut- bar. Die letzten 30 Jahre sei er als einfacher Biegereimitarbeiter tätig gewesen. Er weise keine Berufsausbildung auf und verfüge nur über rudimentäre Deutschkenntnisse (act. 1). C. Mit Stellungnahme vom 4. Februar 2025 beantragte die Suva die Abweisung der Beschwerde (act. 4).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der Gemeinde D.________, ZG. Damit ist das Verwaltungsgericht des Kantons Zug in Anwendung von § 4 Abs. 1 lit. b der kantonalen Vollziehungsverordnung zum Bundesgesetz über die Un- fallversicherung (BGS 842.5) örtlich und sachlich zuständig. Die Beschwerdegegnerin er- liess den vorliegend angefochtenen Einspracheentscheid am 4. November 2024. Die Be- schwerdeschrift wurde am 3. Dezember 2024 der Post übergeben. Damit gilt die Be- schwerde als rechtzeitig i.S.v. Art. 60 Abs. 1 ATSG eingereicht. Die Beschwerdeschrift entspricht sodann den formellen Anforderungen an eine Beschwerde und der Beschwer- deführer ist als von der Verfügung des Unfallversicherers direkt Betroffener zur Beschwer- de legitimiert. Somit ist die Beschwerde vom Gericht zu prüfen. Die Beurteilung erfolgt auf dem Zirkulationsweg gemäss § 29 der Geschäftsordnung des Verwaltungsgerichts (GO VG; BGS 162.11). 2.</w:t>
      </w:r>
    </w:p>
    <w:p>
      <w:r>
        <w:rPr>
          <w:b/>
        </w:rPr>
        <w:t>E. 3.1</w:t>
      </w:r>
    </w:p>
    <w:p>
      <w:r>
        <w:t>Die Suva legte ihrer Berechnung die Tabellenlöhne gemäss der vom Bundesamt für Statistik periodisch aktualisierten Lohnstrukturerhebung (LSE) 2020 Schweiz, TA1, To- tal privater Sektor, Männer mit Kompetenzniveau 1 zugrunde, wobei sie eine Leistungs- einbusse von 25 % (Notwendigkeit zusätzlicher Pausen sowie verminderte Leistungs- fähigkeit) und einen Leidensabzug von 5 % berücksichtigte (Suva-act. 431, 408). Sie er- wog dabei, es sei einerseits zu ergründen, in welchem zeitlichen Umfang eine Arbeits- tätigkeit noch zumutbar sei, alsdann ob weitere qualitative oder quantitative Einschrän- kungen der Arbeitsfähigkeit bestünden, welche das Spektrum der erwerblichen Tätigkeiten weiter einschränken würden. Davon zu unterscheiden sei die Frage, ob mit Bezug auf eine konkret in Betracht fallende Tätigkeit bei ausgeglichener Arbeitsmarktlage verglichen mit gesunden Mitbewerbern nur bei Inkaufnahme einer Lohneinbusse reale Chancen für eine Anstellung bestünden. Lediglich wenn kein genügend breites Spektrum an zumutbaren Verweisungstätigkeiten mehr bestehe, rechtfertige sich allenfalls ein Abzug vom Tabellen- lohn. Sie erwog sodann, bereits in der medizinischen Beurteilung der Arbeitsunfähigkeit enthaltene Einschränkungen dürften nicht doppelt berücksichtigt werden, hingegen gebe zu einem Abzug Anlass, wenn eine Person selbst im Rahmen körperlich leichter Hilfsar- beitertätigkeiten in ihrer Leistungsfähigkeit eingeschränkt sei (Suva-act. 431 E. 4.1). Vor- liegend sei den leidensbedingten Einschränkungen mit dem Anforderungs- und Belas- tungsprofil Rechnung getragen worden, dem erhöhten Pausenbedarf mit dem Abzug von 25 %. Einen Abzug von 5 % gewährte die Vorinstanz mit Blick auf die übrigen persönli- chen und beruflichen Merkmale, insbesondere Lebensalter, Dienstjahre und fehlende sprachliche Fähigkeiten (Suva-act. 431 E. 4.1 i.f.). Daran hält sie im Beschwerdeverfahren im Wesentlichen fest (act. 4).</w:t>
      </w:r>
    </w:p>
    <w:p>
      <w:r>
        <w:rPr>
          <w:b/>
        </w:rPr>
        <w:t>E. 3.2</w:t>
      </w:r>
    </w:p>
    <w:p>
      <w:r>
        <w:t>Der Beschwerdeführer verweist zunächst auf die Rechtsgutachten "Grundproble- me der Invaliditätsbemessung in der Invalidenversicherung" von Gächter/Egli/Meier/Filippo vom 22. Januar 2021, die "BASS-Studie" sowie die Publikation "Der Weg zu einem invali- ditätskonformen Tabellenlohn" von Riemer-Kafka/Schwegler. Er macht geltend, rechne man körperlich anstrengende Berufe aus den LSE-Statistiken heraus, zeige sich, dass Versicherte, denen nur noch leichte Hilfsarbeiten zumutbar seien, statistisch einen Lohn erzielen könnten, der 14 bis 16 % unterhalb der Tabelleneinkommen liege. Bei Männern läge allein die leidensbedingte Erwerbseinbusse bei 15 % (act. 1 Ziff. 17). Weiter macht er geltend, sein Rentenanspruch sei erst am 1. Juli 2022 entstanden, mithin nach Inkrafttre- ten von Art. 26bis Abs. 3 IVV, der einen Pauschalabzug von 10 % vorsehe und auch für die Unfallversicherung analog zur Anwendung zu bringen sei (act. 1 Ziff. 18). In seinem kon- kreten Fall rechtfertige bereits das Alter von 63 Jahren einen Abzug von 10 %, vor allem unter Berücksichtigung des Umstandes, dass er während über 30 Jahren als einfacher Biegereimitarbeiter tätig gewesen sei und nur über ein schmales berufliches Rüstzeug ver- füge, was ihm die Integration in den Arbeitsmarkt in fortgeschrittenem Alter erheblich er- schwere (unter Verweis auf BGer 9C_334/2013 vom 24. Juli 2013). Artikel 28 Abs. 4 UVV stehe einem Altersabzug nicht entgegen, wolle dieser Artikel doch primär eine Begünsti- gung von Verunfallten im Pensionierungsalter vermeiden (act. 1 Ziff. 19). Schliesslich sei der Tatsache Rechnung zu tragen, dass er nur immer körperlich schwer gearbeitet habe und nur rudimentäre Deutschkenntnisse habe. So könne er selbst bei unqualifizierten Hilfstätigkeiten des untersten Anforderungs- bzw. Kompetenzniveaus nur mit unterdurch- schnittlichem erwerblichem Erfolg rechnen (act. 1 Ziff. 21). Mit Blick auf das Ausgeführte erscheine gesamthaft ein Abzug von 20 % vom Invalideneinkommen als gerechtfertigt. In Zahlen resultiere ein Invalideneinkommen von Fr. 39'644., was bezogen auf das unbe- strittene Valideneinkommen von Fr. 72'128. einen IV-Grad von 45 % ergebe (act. 1 Ziff. 22 f.). 4.</w:t>
      </w:r>
    </w:p>
    <w:p>
      <w:r>
        <w:rPr>
          <w:b/>
        </w:rPr>
        <w:t>E. 4</w:t>
      </w:r>
    </w:p>
    <w:p>
      <w:r>
        <w:t>Urteil S 2024 128 Dienstjahre, Nationalität oder Aufenthaltskategorie und Beschäftigungsgrad Auswirkungen auf die Lohnhöhe haben können und die versicherte Person je nach Ausprägung deswe- gen die verbliebene Arbeitsfähigkeit auch auf einem ausgeglichenen Arbeitsmarkt nur mit unterdurchschnittlichem erwerblichem Erfolg verwerten kann. Der Abzug soll aber nicht automatisch erfolgen. Er ist unter Würdigung der Umstände im Einzelfall nach pflicht- gemässem Ermessen gesamthaft zu schätzen und darf 25 % nicht übersteigen. Die bishe- rige Rechtsprechung gewährt insbesondere dann einen Abzug vom Invalideneinkommen, wenn eine versicherte Person selbst im Rahmen körperlich leichter Hilfsarbeitertätigkeit in ihrer Leistungsfähigkeit eingeschränkt ist. Allfällige bereits in der Beurteilung der medizini- schen Arbeitsfähigkeit enthaltene gesundheitliche Einschränkungen dürfen nicht zusätzlich in die Bemessung des leidensbedingten Abzugs einfliessen und so zu einer doppelten An- rechnung desselben Gesichtspunkts führen (BGE 148 V 174 E. 6.3 mit Hinweisen). Ob ein behinderungsbedingt oder anderweitig begründeter Abzug vom Tabellenlohn vorzuneh- men ist, ist eine frei überprüfbare Rechtsfrage. Dagegen ist die Höhe des (im konkreten Fall grundsätzlich angezeigten) Abzugs eine Ermessensfrage (BGE 148 V 174 E. 6.5).</w:t>
      </w:r>
    </w:p>
    <w:p>
      <w:r>
        <w:rPr>
          <w:b/>
        </w:rPr>
        <w:t>E. 4.1</w:t>
      </w:r>
    </w:p>
    <w:p>
      <w:r>
        <w:t>Vorliegend ist mit dem Beschwerdeführer davon auszugehen, dass bei ihm eine Vielzahl von Faktoren vorliegen, die rechtsprechungsgemäss einen Tabellenlohnabzug rechtfertigen können (jedoch nicht müssen; vgl. allgemein zu den Abzugsfaktoren sowie zur nötigen Gesamtwürdigung etwa BGE 148 V 174 E. 6.3; BGer 8C_166/2024 vom 28. Oktober 2024 E. 4.2.1): Fortgeschrittenes Alter, körperliche Einschränkungen selbst in leichten Hilfstätigkeiten, mangelhafte Sprachkenntnisse und Ausbildung sowie sehr lange Betriebszugehörigkeit mit fraglicher Fähigkeit zur Anpassung an einen neuen Arbeitsort.</w:t>
      </w:r>
    </w:p>
    <w:p>
      <w:r>
        <w:rPr>
          <w:b/>
        </w:rPr>
        <w:t>E. 4.2</w:t>
      </w:r>
    </w:p>
    <w:p>
      <w:r>
        <w:t>Die Vorinstanz erläuterte nicht, aufgrund welcher dieser Faktoren sie einen Tabel- lenlohnabzug für gerechtfertigt erachtete, sondern setzte diesen im Wesentlichen ohne weitere Begründung auf 5 % fest. Richtig ist dabei sicher, dass in der Gesamtschau bei der erwerblichen Ausgangslage des Beschwerdeführers Anlass besteht zur Gewährung eines Tabellenlohnabzugs. Irrelevant sind dabei die vom Beschwerdeführer angestellten statistischen Spielereien, da massgeblich der Einzelfall ist. In diesem kommen jedoch of- fensichtlich eine Vielzahl ungünstiger Faktoren zusammen, die Zweifel daran wecken, ob der Beschwerdeführer seine Arbeitsfähigkeit überhaupt nach seinem Unfall realistischer- weise wieder in einer angepassten Tätigkeit wird verwerten können. Tatsächlich erscheint das unbestrittene Belastungsprofil sehr eingeschränkt und schliesst prima vista auch eine Vielzahl leichter Hilfsarbeitertätigkeiten aus, die ohne Deutschkenntnisse und Ausbildung verrichtet werden könnten (etwa Fliessbandarbeiten). Es ist für das Gericht zwar plausibel, dass dem Beschwerdeführer Arbeiten entsprechend dem medizinisch ermittelten Belas- tungsprofil noch in einem Pensum von 75 % zumutbar wären. Wenig fassbar ist indes, welche Tätigkeiten konkret für ihn noch in Frage kommen auf dem ersten Arbeitsmarkt und welcher Arbeitgeber bereit wäre, den Versicherten noch einzustellen. Auf entspre- chende Beispiele hat denn auch die Vorinstanz genauso verzichtet wie auf eine nähere Begründung ihrer Bemessung des Tabellenlohnabzugs.</w:t>
      </w:r>
    </w:p>
    <w:p>
      <w:r>
        <w:rPr>
          <w:b/>
        </w:rPr>
        <w:t>E. 4.3</w:t>
      </w:r>
    </w:p>
    <w:p>
      <w:r>
        <w:t>Mit Blick auf die mithin noch unvollständige Sachverhaltsfeststellung, die zu er- gänzen sein wird, ist der angefochtene Einspracheentscheid vom 4. November 2024 an- tragsgemäss aufzuheben und es ist die Sache an die Vorinstanz zurückzuweisen, damit diese die erwerbliche Verwertbarkeit der zumutbaren Arbeitsfähigkeit – welche nota bene die Invalidenversicherung vollumfänglich verneinte – weiter abkläre und alsdann erneut entscheide (diesmal mit entsprechender Begründung ihres Entscheids und insbesondere unter Auseinandersetzung mit den konkreten Auswirkungen der verschiedenen limitieren- den Faktoren auf die arbeitsmarktliche Verwertbarkeit der zumutbaren Arbeitsfähigkeit des Versicherten). 5.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hat der obsiegende Beschwerdeführer Anspruch auf eine Parteientschädigung. Da die Rechtsver- treterin keine Kostennote eingereicht hat, ist diese ermessensweise – bei nicht sehr kom-</w:t>
      </w:r>
    </w:p>
    <w:p>
      <w:r>
        <w:rPr>
          <w:b/>
        </w:rPr>
        <w:t>E. 5</w:t>
      </w:r>
    </w:p>
    <w:p>
      <w:r>
        <w:t>Urteil S 2024 128 ren im selben Betrieb als Biegereimitarbeiter tätig war. Körperlich ist dem Beschwerdefüh- rer gemäss Gutachten der medexperts vom 7. November 2022 folgendes Belastungsprofil noch zumutbar: Leichte Arbeitstätigkeiten mit der Schulter links bis maximal Brusthöhe, keine Rotationsbewegungen, keine Schläge und Vibrationen, die auf die linke Schulter weitergeleitet werden. Keine Arbeiten auf Leitern, Gerüsten und Treppen. Beidhändiges Heben von Lasten vom Boden auf Tischhöhe und beckennahes Tragen maximal 8 kg, nicht repetitiv. Kein Stossen, Ziehen mit dem linken Arm, kein Heben und Tragen von Las- ten mit dem linken Arm, nur beidhändiges Heben und Tragen. In einer angepassten Tätig- keit besteht eine Arbeitsunfähigkeit von 25 % aufgrund von erhöhtem Pausenbedarf und eingeschränkter Leistung (Suva-act. 358 S. 7 f.).</w:t>
      </w:r>
    </w:p>
    <w:p>
      <w:r>
        <w:rPr>
          <w:b/>
        </w:rPr>
        <w:t>E. 6</w:t>
      </w:r>
    </w:p>
    <w:p>
      <w:r>
        <w:t>Urteil S 2024 128</w:t>
      </w:r>
    </w:p>
    <w:p>
      <w:r>
        <w:rPr>
          <w:b/>
        </w:rPr>
        <w:t>E. 7</w:t>
      </w:r>
    </w:p>
    <w:p>
      <w:r>
        <w:t>Urteil S 2024 128</w:t>
      </w:r>
    </w:p>
    <w:p>
      <w:r>
        <w:rPr>
          <w:b/>
        </w:rPr>
        <w:t>E. 8</w:t>
      </w:r>
    </w:p>
    <w:p>
      <w:r>
        <w:t>Urteil S 2024 128 plexem Verfahren mit Vertretung bereits vor Vorinstanz – auf Fr. 2'000. (entsprechend knapp einem Arbeitstag) festzusetzen und der Beschwerdegegnerin aufzuerlegen.</w:t>
      </w:r>
    </w:p>
    <w:p>
      <w:r>
        <w:rPr>
          <w:b/>
        </w:rPr>
        <w:t>E. 9</w:t>
      </w:r>
    </w:p>
    <w:p>
      <w:r>
        <w:t>Urteil S 2024 128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